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DF788" w14:textId="07C7023B" w:rsidR="00A9204E" w:rsidRDefault="006779EF">
      <w:pPr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REPORT TO BROMESWELL PC MEETING, </w:t>
      </w:r>
      <w:r w:rsidR="00FA61A0">
        <w:rPr>
          <w:b/>
          <w:bCs/>
          <w:sz w:val="28"/>
          <w:szCs w:val="28"/>
          <w:u w:val="single"/>
          <w:lang w:val="en-GB"/>
        </w:rPr>
        <w:t>2</w:t>
      </w:r>
      <w:r w:rsidR="00AE7F3A">
        <w:rPr>
          <w:b/>
          <w:bCs/>
          <w:sz w:val="28"/>
          <w:szCs w:val="28"/>
          <w:u w:val="single"/>
          <w:lang w:val="en-GB"/>
        </w:rPr>
        <w:t>5 JANUARY 2021</w:t>
      </w:r>
    </w:p>
    <w:p w14:paraId="06F1477D" w14:textId="49D536A8" w:rsidR="006779EF" w:rsidRDefault="006779EF">
      <w:pPr>
        <w:rPr>
          <w:b/>
          <w:bCs/>
          <w:sz w:val="28"/>
          <w:szCs w:val="28"/>
          <w:u w:val="single"/>
          <w:lang w:val="en-GB"/>
        </w:rPr>
      </w:pPr>
    </w:p>
    <w:p w14:paraId="139E95AA" w14:textId="2EEC560A" w:rsidR="006779EF" w:rsidRDefault="006779EF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Sizewell C Consultation</w:t>
      </w:r>
      <w:r w:rsidR="00FA61A0">
        <w:rPr>
          <w:b/>
          <w:bCs/>
          <w:sz w:val="28"/>
          <w:szCs w:val="28"/>
          <w:lang w:val="en-GB"/>
        </w:rPr>
        <w:t xml:space="preserve"> &amp; </w:t>
      </w:r>
      <w:proofErr w:type="spellStart"/>
      <w:r w:rsidR="00FA61A0">
        <w:rPr>
          <w:b/>
          <w:bCs/>
          <w:sz w:val="28"/>
          <w:szCs w:val="28"/>
          <w:lang w:val="en-GB"/>
        </w:rPr>
        <w:t>Friston</w:t>
      </w:r>
      <w:proofErr w:type="spellEnd"/>
      <w:r w:rsidR="00FA61A0">
        <w:rPr>
          <w:b/>
          <w:bCs/>
          <w:sz w:val="28"/>
          <w:szCs w:val="28"/>
          <w:lang w:val="en-GB"/>
        </w:rPr>
        <w:t xml:space="preserve"> Sub-station Proposal</w:t>
      </w:r>
    </w:p>
    <w:p w14:paraId="686ED87D" w14:textId="7F743209" w:rsidR="006779EF" w:rsidRDefault="006779EF">
      <w:pPr>
        <w:rPr>
          <w:b/>
          <w:bCs/>
          <w:sz w:val="28"/>
          <w:szCs w:val="28"/>
          <w:lang w:val="en-GB"/>
        </w:rPr>
      </w:pPr>
    </w:p>
    <w:p w14:paraId="12682B7F" w14:textId="6160C5A8" w:rsidR="006779EF" w:rsidRDefault="0068596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PC responded to latest consultation confirming support for positions of ESC &amp; SCC and indicating concern at </w:t>
      </w:r>
      <w:r w:rsidR="006E2D3B">
        <w:rPr>
          <w:sz w:val="28"/>
          <w:szCs w:val="28"/>
          <w:lang w:val="en-GB"/>
        </w:rPr>
        <w:t>the number of HGV movements planned for the A12 (and possibility of traffic “spilling over” on to A1152 to avoid A12 congestion</w:t>
      </w:r>
      <w:r w:rsidR="00774EFC">
        <w:rPr>
          <w:sz w:val="28"/>
          <w:szCs w:val="28"/>
          <w:lang w:val="en-GB"/>
        </w:rPr>
        <w:t xml:space="preserve">) and number of night movements by rail. </w:t>
      </w:r>
      <w:proofErr w:type="gramStart"/>
      <w:r w:rsidR="00774EFC">
        <w:rPr>
          <w:sz w:val="28"/>
          <w:szCs w:val="28"/>
          <w:lang w:val="en-GB"/>
        </w:rPr>
        <w:t>Both of these</w:t>
      </w:r>
      <w:proofErr w:type="gramEnd"/>
      <w:r w:rsidR="00774EFC">
        <w:rPr>
          <w:sz w:val="28"/>
          <w:szCs w:val="28"/>
          <w:lang w:val="en-GB"/>
        </w:rPr>
        <w:t xml:space="preserve"> issues can be overcome by greater investment in road &amp; rail infrastructure which will leave a lasting legacy </w:t>
      </w:r>
      <w:r w:rsidR="00F11B67">
        <w:rPr>
          <w:sz w:val="28"/>
          <w:szCs w:val="28"/>
          <w:lang w:val="en-GB"/>
        </w:rPr>
        <w:t>&amp; boost economic development for years beyond construction phase.</w:t>
      </w:r>
    </w:p>
    <w:p w14:paraId="588BBA1C" w14:textId="77777777" w:rsidR="00F11B67" w:rsidRDefault="00F11B67">
      <w:pPr>
        <w:rPr>
          <w:sz w:val="28"/>
          <w:szCs w:val="28"/>
          <w:lang w:val="en-GB"/>
        </w:rPr>
      </w:pPr>
    </w:p>
    <w:p w14:paraId="1DBF1626" w14:textId="07B9A888" w:rsidR="006779EF" w:rsidRDefault="006779EF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Police Report</w:t>
      </w:r>
    </w:p>
    <w:p w14:paraId="78832AF7" w14:textId="5B144375" w:rsidR="00953CE6" w:rsidRDefault="00953CE6">
      <w:pPr>
        <w:rPr>
          <w:b/>
          <w:bCs/>
          <w:sz w:val="28"/>
          <w:szCs w:val="28"/>
          <w:lang w:val="en-GB"/>
        </w:rPr>
      </w:pPr>
    </w:p>
    <w:p w14:paraId="336CD7EA" w14:textId="159158E6" w:rsidR="00953CE6" w:rsidRPr="00953CE6" w:rsidRDefault="00953CE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Only </w:t>
      </w:r>
      <w:r w:rsidR="005E5144">
        <w:rPr>
          <w:sz w:val="28"/>
          <w:szCs w:val="28"/>
          <w:lang w:val="en-GB"/>
        </w:rPr>
        <w:t xml:space="preserve">figures </w:t>
      </w:r>
      <w:r>
        <w:rPr>
          <w:sz w:val="28"/>
          <w:szCs w:val="28"/>
          <w:lang w:val="en-GB"/>
        </w:rPr>
        <w:t xml:space="preserve">for November </w:t>
      </w:r>
      <w:r w:rsidR="005E5144">
        <w:rPr>
          <w:sz w:val="28"/>
          <w:szCs w:val="28"/>
          <w:lang w:val="en-GB"/>
        </w:rPr>
        <w:t>available at time of report</w:t>
      </w:r>
      <w:r w:rsidR="00597F6A">
        <w:rPr>
          <w:sz w:val="28"/>
          <w:szCs w:val="28"/>
          <w:lang w:val="en-GB"/>
        </w:rPr>
        <w:t xml:space="preserve">. I found it quite shocking that of the 239 crimes in the Woodbridge SNT area </w:t>
      </w:r>
      <w:r w:rsidR="00D705B2">
        <w:rPr>
          <w:sz w:val="28"/>
          <w:szCs w:val="28"/>
          <w:lang w:val="en-GB"/>
        </w:rPr>
        <w:t xml:space="preserve">102 </w:t>
      </w:r>
      <w:r w:rsidR="00597F6A">
        <w:rPr>
          <w:sz w:val="28"/>
          <w:szCs w:val="28"/>
          <w:lang w:val="en-GB"/>
        </w:rPr>
        <w:t>were for</w:t>
      </w:r>
      <w:r w:rsidR="00D705B2">
        <w:rPr>
          <w:sz w:val="28"/>
          <w:szCs w:val="28"/>
          <w:lang w:val="en-GB"/>
        </w:rPr>
        <w:t xml:space="preserve"> violence and sexual offences</w:t>
      </w:r>
      <w:r w:rsidR="00F20C9E">
        <w:rPr>
          <w:sz w:val="28"/>
          <w:szCs w:val="28"/>
          <w:lang w:val="en-GB"/>
        </w:rPr>
        <w:t xml:space="preserve">, most likely relating to domestic violence. Bromeswell had one </w:t>
      </w:r>
      <w:r w:rsidR="00EB5475">
        <w:rPr>
          <w:sz w:val="28"/>
          <w:szCs w:val="28"/>
          <w:lang w:val="en-GB"/>
        </w:rPr>
        <w:t>reported crime in this category, one burglary and one anti-social behaviour.</w:t>
      </w:r>
    </w:p>
    <w:p w14:paraId="2D4F8F7D" w14:textId="60407CB5" w:rsidR="006779EF" w:rsidRDefault="006779EF">
      <w:pPr>
        <w:rPr>
          <w:b/>
          <w:bCs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307"/>
        <w:gridCol w:w="2195"/>
        <w:gridCol w:w="2300"/>
      </w:tblGrid>
      <w:tr w:rsidR="00252BC1" w:rsidRPr="00E66FF9" w14:paraId="292C944C" w14:textId="77777777" w:rsidTr="00252BC1">
        <w:tc>
          <w:tcPr>
            <w:tcW w:w="2548" w:type="dxa"/>
          </w:tcPr>
          <w:p w14:paraId="36E5F5D9" w14:textId="77777777" w:rsidR="00252BC1" w:rsidRDefault="00252BC1" w:rsidP="00C67040">
            <w:pPr>
              <w:rPr>
                <w:u w:val="single"/>
                <w:lang w:val="en-GB"/>
              </w:rPr>
            </w:pPr>
          </w:p>
        </w:tc>
        <w:tc>
          <w:tcPr>
            <w:tcW w:w="2307" w:type="dxa"/>
          </w:tcPr>
          <w:p w14:paraId="79505ECB" w14:textId="2BC6A05C" w:rsidR="00252BC1" w:rsidRPr="00E66FF9" w:rsidRDefault="00953CE6" w:rsidP="00C67040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Nov</w:t>
            </w:r>
          </w:p>
        </w:tc>
        <w:tc>
          <w:tcPr>
            <w:tcW w:w="2195" w:type="dxa"/>
          </w:tcPr>
          <w:p w14:paraId="603475A8" w14:textId="46104C4E" w:rsidR="00252BC1" w:rsidRDefault="00252BC1" w:rsidP="00C6704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300" w:type="dxa"/>
          </w:tcPr>
          <w:p w14:paraId="2F156178" w14:textId="7E02A210" w:rsidR="00252BC1" w:rsidRPr="00E66FF9" w:rsidRDefault="00252BC1" w:rsidP="00C6704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52BC1" w:rsidRPr="00E66FF9" w14:paraId="70F323BF" w14:textId="77777777" w:rsidTr="00252BC1">
        <w:tc>
          <w:tcPr>
            <w:tcW w:w="2548" w:type="dxa"/>
          </w:tcPr>
          <w:p w14:paraId="2E41FED4" w14:textId="77777777" w:rsidR="00252BC1" w:rsidRPr="00E66FF9" w:rsidRDefault="00252BC1" w:rsidP="00C67040">
            <w:pPr>
              <w:rPr>
                <w:lang w:val="en-GB"/>
              </w:rPr>
            </w:pPr>
            <w:r w:rsidRPr="00E66FF9">
              <w:rPr>
                <w:lang w:val="en-GB"/>
              </w:rPr>
              <w:t>Woodbridge SNT</w:t>
            </w:r>
          </w:p>
        </w:tc>
        <w:tc>
          <w:tcPr>
            <w:tcW w:w="2307" w:type="dxa"/>
          </w:tcPr>
          <w:p w14:paraId="2483DB94" w14:textId="5C4B56E8" w:rsidR="00252BC1" w:rsidRPr="00E66FF9" w:rsidRDefault="00597F6A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239</w:t>
            </w:r>
          </w:p>
        </w:tc>
        <w:tc>
          <w:tcPr>
            <w:tcW w:w="2195" w:type="dxa"/>
          </w:tcPr>
          <w:p w14:paraId="7B3369A5" w14:textId="53F479F4" w:rsidR="00252BC1" w:rsidRDefault="00252BC1" w:rsidP="00C67040">
            <w:pPr>
              <w:jc w:val="center"/>
              <w:rPr>
                <w:lang w:val="en-GB"/>
              </w:rPr>
            </w:pPr>
          </w:p>
        </w:tc>
        <w:tc>
          <w:tcPr>
            <w:tcW w:w="2300" w:type="dxa"/>
          </w:tcPr>
          <w:p w14:paraId="34D9CEFA" w14:textId="7A4C15FD" w:rsidR="00252BC1" w:rsidRPr="00E66FF9" w:rsidRDefault="00252BC1" w:rsidP="00C67040">
            <w:pPr>
              <w:jc w:val="center"/>
              <w:rPr>
                <w:lang w:val="en-GB"/>
              </w:rPr>
            </w:pPr>
          </w:p>
        </w:tc>
      </w:tr>
      <w:tr w:rsidR="00252BC1" w:rsidRPr="00E66FF9" w14:paraId="652824AE" w14:textId="77777777" w:rsidTr="00252BC1">
        <w:tc>
          <w:tcPr>
            <w:tcW w:w="2548" w:type="dxa"/>
          </w:tcPr>
          <w:p w14:paraId="3AAF50AC" w14:textId="77777777" w:rsidR="00252BC1" w:rsidRPr="00E66FF9" w:rsidRDefault="00252BC1" w:rsidP="00C6704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Bromeswell</w:t>
            </w:r>
          </w:p>
        </w:tc>
        <w:tc>
          <w:tcPr>
            <w:tcW w:w="2307" w:type="dxa"/>
          </w:tcPr>
          <w:p w14:paraId="0D5AEC54" w14:textId="434138D3" w:rsidR="00252BC1" w:rsidRPr="00E66FF9" w:rsidRDefault="00F20C9E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195" w:type="dxa"/>
          </w:tcPr>
          <w:p w14:paraId="318B4A71" w14:textId="0236366D" w:rsidR="00252BC1" w:rsidRDefault="00252BC1" w:rsidP="00C67040">
            <w:pPr>
              <w:jc w:val="center"/>
              <w:rPr>
                <w:lang w:val="en-GB"/>
              </w:rPr>
            </w:pPr>
          </w:p>
        </w:tc>
        <w:tc>
          <w:tcPr>
            <w:tcW w:w="2300" w:type="dxa"/>
          </w:tcPr>
          <w:p w14:paraId="72B69ABE" w14:textId="64F766F8" w:rsidR="00252BC1" w:rsidRPr="00E66FF9" w:rsidRDefault="00252BC1" w:rsidP="00C67040">
            <w:pPr>
              <w:jc w:val="center"/>
              <w:rPr>
                <w:lang w:val="en-GB"/>
              </w:rPr>
            </w:pPr>
          </w:p>
        </w:tc>
      </w:tr>
      <w:tr w:rsidR="00252BC1" w:rsidRPr="00E66FF9" w14:paraId="23F6329B" w14:textId="77777777" w:rsidTr="00252BC1">
        <w:tc>
          <w:tcPr>
            <w:tcW w:w="2548" w:type="dxa"/>
          </w:tcPr>
          <w:p w14:paraId="50140A91" w14:textId="77777777" w:rsidR="00252BC1" w:rsidRPr="00E66FF9" w:rsidRDefault="00252BC1" w:rsidP="00C6704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Eyke</w:t>
            </w:r>
            <w:proofErr w:type="spellEnd"/>
          </w:p>
        </w:tc>
        <w:tc>
          <w:tcPr>
            <w:tcW w:w="2307" w:type="dxa"/>
          </w:tcPr>
          <w:p w14:paraId="65676C7A" w14:textId="1918DDA2" w:rsidR="00252BC1" w:rsidRPr="00E66FF9" w:rsidRDefault="00E25E26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2195" w:type="dxa"/>
          </w:tcPr>
          <w:p w14:paraId="590DEDF6" w14:textId="51CA8548" w:rsidR="00252BC1" w:rsidRDefault="00252BC1" w:rsidP="00C67040">
            <w:pPr>
              <w:jc w:val="center"/>
              <w:rPr>
                <w:lang w:val="en-GB"/>
              </w:rPr>
            </w:pPr>
          </w:p>
        </w:tc>
        <w:tc>
          <w:tcPr>
            <w:tcW w:w="2300" w:type="dxa"/>
          </w:tcPr>
          <w:p w14:paraId="2BE630F9" w14:textId="74D2B083" w:rsidR="00252BC1" w:rsidRPr="00E66FF9" w:rsidRDefault="00252BC1" w:rsidP="00C67040">
            <w:pPr>
              <w:jc w:val="center"/>
              <w:rPr>
                <w:lang w:val="en-GB"/>
              </w:rPr>
            </w:pPr>
          </w:p>
        </w:tc>
      </w:tr>
      <w:tr w:rsidR="00252BC1" w:rsidRPr="00E66FF9" w14:paraId="702E0FB4" w14:textId="77777777" w:rsidTr="00252BC1">
        <w:tc>
          <w:tcPr>
            <w:tcW w:w="2548" w:type="dxa"/>
          </w:tcPr>
          <w:p w14:paraId="37003D2D" w14:textId="77777777" w:rsidR="00252BC1" w:rsidRPr="00E66FF9" w:rsidRDefault="00252BC1" w:rsidP="00C67040">
            <w:pPr>
              <w:rPr>
                <w:lang w:val="en-GB"/>
              </w:rPr>
            </w:pPr>
            <w:r>
              <w:rPr>
                <w:lang w:val="en-GB"/>
              </w:rPr>
              <w:t>Sutton</w:t>
            </w:r>
          </w:p>
        </w:tc>
        <w:tc>
          <w:tcPr>
            <w:tcW w:w="2307" w:type="dxa"/>
          </w:tcPr>
          <w:p w14:paraId="24EA73B4" w14:textId="69FB59BB" w:rsidR="00252BC1" w:rsidRPr="00E66FF9" w:rsidRDefault="00E25E26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2195" w:type="dxa"/>
          </w:tcPr>
          <w:p w14:paraId="728351CB" w14:textId="6C7F28AF" w:rsidR="00252BC1" w:rsidRDefault="00252BC1" w:rsidP="00C67040">
            <w:pPr>
              <w:jc w:val="center"/>
              <w:rPr>
                <w:lang w:val="en-GB"/>
              </w:rPr>
            </w:pPr>
          </w:p>
        </w:tc>
        <w:tc>
          <w:tcPr>
            <w:tcW w:w="2300" w:type="dxa"/>
          </w:tcPr>
          <w:p w14:paraId="1F37AB29" w14:textId="6167F717" w:rsidR="00252BC1" w:rsidRPr="00E66FF9" w:rsidRDefault="00252BC1" w:rsidP="00C67040">
            <w:pPr>
              <w:jc w:val="center"/>
              <w:rPr>
                <w:lang w:val="en-GB"/>
              </w:rPr>
            </w:pPr>
          </w:p>
        </w:tc>
      </w:tr>
      <w:tr w:rsidR="00252BC1" w:rsidRPr="00E66FF9" w14:paraId="25E40C4E" w14:textId="77777777" w:rsidTr="00252BC1">
        <w:tc>
          <w:tcPr>
            <w:tcW w:w="2548" w:type="dxa"/>
          </w:tcPr>
          <w:p w14:paraId="321D65ED" w14:textId="77777777" w:rsidR="00252BC1" w:rsidRPr="00E66FF9" w:rsidRDefault="00252BC1" w:rsidP="00C67040">
            <w:pPr>
              <w:rPr>
                <w:lang w:val="en-GB"/>
              </w:rPr>
            </w:pPr>
            <w:r>
              <w:rPr>
                <w:lang w:val="en-GB"/>
              </w:rPr>
              <w:t>Sutton Heath</w:t>
            </w:r>
          </w:p>
        </w:tc>
        <w:tc>
          <w:tcPr>
            <w:tcW w:w="2307" w:type="dxa"/>
          </w:tcPr>
          <w:p w14:paraId="3C5A1A7A" w14:textId="53C01FFB" w:rsidR="00252BC1" w:rsidRPr="00E66FF9" w:rsidRDefault="00DC559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195" w:type="dxa"/>
          </w:tcPr>
          <w:p w14:paraId="7E3291B8" w14:textId="33220256" w:rsidR="00252BC1" w:rsidRDefault="00252BC1" w:rsidP="00C67040">
            <w:pPr>
              <w:jc w:val="center"/>
              <w:rPr>
                <w:lang w:val="en-GB"/>
              </w:rPr>
            </w:pPr>
          </w:p>
        </w:tc>
        <w:tc>
          <w:tcPr>
            <w:tcW w:w="2300" w:type="dxa"/>
          </w:tcPr>
          <w:p w14:paraId="2CDC008D" w14:textId="6548C106" w:rsidR="00252BC1" w:rsidRPr="00E66FF9" w:rsidRDefault="00252BC1" w:rsidP="00C67040">
            <w:pPr>
              <w:jc w:val="center"/>
              <w:rPr>
                <w:lang w:val="en-GB"/>
              </w:rPr>
            </w:pPr>
          </w:p>
        </w:tc>
      </w:tr>
      <w:tr w:rsidR="00252BC1" w:rsidRPr="00E66FF9" w14:paraId="0C936008" w14:textId="77777777" w:rsidTr="00252BC1">
        <w:tc>
          <w:tcPr>
            <w:tcW w:w="2548" w:type="dxa"/>
          </w:tcPr>
          <w:p w14:paraId="38B8DF5B" w14:textId="77777777" w:rsidR="00252BC1" w:rsidRPr="00E66FF9" w:rsidRDefault="00252BC1" w:rsidP="00C67040">
            <w:pPr>
              <w:rPr>
                <w:lang w:val="en-GB"/>
              </w:rPr>
            </w:pPr>
            <w:r>
              <w:rPr>
                <w:lang w:val="en-GB"/>
              </w:rPr>
              <w:t>Ufford</w:t>
            </w:r>
          </w:p>
        </w:tc>
        <w:tc>
          <w:tcPr>
            <w:tcW w:w="2307" w:type="dxa"/>
          </w:tcPr>
          <w:p w14:paraId="6036D365" w14:textId="3B324AF5" w:rsidR="00252BC1" w:rsidRPr="00E66FF9" w:rsidRDefault="00F257F6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195" w:type="dxa"/>
          </w:tcPr>
          <w:p w14:paraId="307A9DEB" w14:textId="004CC45B" w:rsidR="00252BC1" w:rsidRDefault="00252BC1" w:rsidP="00C67040">
            <w:pPr>
              <w:jc w:val="center"/>
              <w:rPr>
                <w:lang w:val="en-GB"/>
              </w:rPr>
            </w:pPr>
          </w:p>
        </w:tc>
        <w:tc>
          <w:tcPr>
            <w:tcW w:w="2300" w:type="dxa"/>
          </w:tcPr>
          <w:p w14:paraId="275D89CA" w14:textId="3AC05A16" w:rsidR="00252BC1" w:rsidRPr="00E66FF9" w:rsidRDefault="00252BC1" w:rsidP="00C67040">
            <w:pPr>
              <w:jc w:val="center"/>
              <w:rPr>
                <w:lang w:val="en-GB"/>
              </w:rPr>
            </w:pPr>
          </w:p>
        </w:tc>
      </w:tr>
      <w:tr w:rsidR="00252BC1" w:rsidRPr="00E66FF9" w14:paraId="2D107A19" w14:textId="77777777" w:rsidTr="00252BC1">
        <w:tc>
          <w:tcPr>
            <w:tcW w:w="2548" w:type="dxa"/>
          </w:tcPr>
          <w:p w14:paraId="0CD7C5DC" w14:textId="77777777" w:rsidR="00252BC1" w:rsidRPr="00E66FF9" w:rsidRDefault="00252BC1" w:rsidP="00C67040">
            <w:pPr>
              <w:rPr>
                <w:lang w:val="en-GB"/>
              </w:rPr>
            </w:pPr>
            <w:r>
              <w:rPr>
                <w:lang w:val="en-GB"/>
              </w:rPr>
              <w:t>Rendlesham</w:t>
            </w:r>
          </w:p>
        </w:tc>
        <w:tc>
          <w:tcPr>
            <w:tcW w:w="2307" w:type="dxa"/>
          </w:tcPr>
          <w:p w14:paraId="110D0179" w14:textId="38BB1B23" w:rsidR="00252BC1" w:rsidRPr="00E66FF9" w:rsidRDefault="00E25E26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2195" w:type="dxa"/>
          </w:tcPr>
          <w:p w14:paraId="7F70BB5F" w14:textId="7EE9B88A" w:rsidR="00252BC1" w:rsidRDefault="00252BC1" w:rsidP="00C67040">
            <w:pPr>
              <w:jc w:val="center"/>
              <w:rPr>
                <w:lang w:val="en-GB"/>
              </w:rPr>
            </w:pPr>
          </w:p>
        </w:tc>
        <w:tc>
          <w:tcPr>
            <w:tcW w:w="2300" w:type="dxa"/>
          </w:tcPr>
          <w:p w14:paraId="4CCE502E" w14:textId="1C1579AE" w:rsidR="00252BC1" w:rsidRPr="00E66FF9" w:rsidRDefault="00252BC1" w:rsidP="00C67040">
            <w:pPr>
              <w:jc w:val="center"/>
              <w:rPr>
                <w:lang w:val="en-GB"/>
              </w:rPr>
            </w:pPr>
          </w:p>
        </w:tc>
      </w:tr>
      <w:tr w:rsidR="00252BC1" w:rsidRPr="00E66FF9" w14:paraId="5370D6EE" w14:textId="77777777" w:rsidTr="00252BC1">
        <w:tc>
          <w:tcPr>
            <w:tcW w:w="2548" w:type="dxa"/>
          </w:tcPr>
          <w:p w14:paraId="6C28CF1F" w14:textId="77777777" w:rsidR="00252BC1" w:rsidRPr="00E66FF9" w:rsidRDefault="00252BC1" w:rsidP="00C67040">
            <w:pPr>
              <w:rPr>
                <w:lang w:val="en-GB"/>
              </w:rPr>
            </w:pPr>
            <w:r>
              <w:rPr>
                <w:lang w:val="en-GB"/>
              </w:rPr>
              <w:t>Woodbridge &amp; Melton</w:t>
            </w:r>
          </w:p>
        </w:tc>
        <w:tc>
          <w:tcPr>
            <w:tcW w:w="2307" w:type="dxa"/>
          </w:tcPr>
          <w:p w14:paraId="465D0CED" w14:textId="5D836164" w:rsidR="00252BC1" w:rsidRPr="00E66FF9" w:rsidRDefault="00E04055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  <w:tc>
          <w:tcPr>
            <w:tcW w:w="2195" w:type="dxa"/>
          </w:tcPr>
          <w:p w14:paraId="74C4289D" w14:textId="6DD461D2" w:rsidR="00252BC1" w:rsidRDefault="00252BC1" w:rsidP="00C67040">
            <w:pPr>
              <w:jc w:val="center"/>
              <w:rPr>
                <w:lang w:val="en-GB"/>
              </w:rPr>
            </w:pPr>
          </w:p>
        </w:tc>
        <w:tc>
          <w:tcPr>
            <w:tcW w:w="2300" w:type="dxa"/>
          </w:tcPr>
          <w:p w14:paraId="749EC162" w14:textId="6759746D" w:rsidR="00252BC1" w:rsidRPr="00E66FF9" w:rsidRDefault="00252BC1" w:rsidP="00C67040">
            <w:pPr>
              <w:jc w:val="center"/>
              <w:rPr>
                <w:lang w:val="en-GB"/>
              </w:rPr>
            </w:pPr>
          </w:p>
        </w:tc>
      </w:tr>
    </w:tbl>
    <w:p w14:paraId="24FD24D7" w14:textId="7861A4DA" w:rsidR="006779EF" w:rsidRDefault="006779EF">
      <w:pPr>
        <w:rPr>
          <w:b/>
          <w:bCs/>
          <w:sz w:val="28"/>
          <w:szCs w:val="28"/>
          <w:lang w:val="en-GB"/>
        </w:rPr>
      </w:pPr>
    </w:p>
    <w:p w14:paraId="46BFDDFF" w14:textId="23469DB1" w:rsidR="004F4B03" w:rsidRDefault="004F4B03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Planning Applications &amp; Enforcement</w:t>
      </w:r>
    </w:p>
    <w:p w14:paraId="671C4E2A" w14:textId="43EF8A4F" w:rsidR="004F4B03" w:rsidRDefault="004F4B03">
      <w:pPr>
        <w:rPr>
          <w:b/>
          <w:bCs/>
          <w:sz w:val="28"/>
          <w:szCs w:val="28"/>
          <w:lang w:val="en-GB"/>
        </w:rPr>
      </w:pPr>
    </w:p>
    <w:p w14:paraId="6720E9E6" w14:textId="562ECACE" w:rsidR="009F2702" w:rsidRDefault="00D4009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Church View Cottage, Church Lane – Removal of tree</w:t>
      </w:r>
      <w:r w:rsidR="00592F32">
        <w:rPr>
          <w:sz w:val="28"/>
          <w:szCs w:val="28"/>
          <w:lang w:val="en-GB"/>
        </w:rPr>
        <w:t xml:space="preserve"> in CA. </w:t>
      </w:r>
      <w:proofErr w:type="gramStart"/>
      <w:r w:rsidR="00592F32">
        <w:rPr>
          <w:sz w:val="28"/>
          <w:szCs w:val="28"/>
          <w:lang w:val="en-GB"/>
        </w:rPr>
        <w:t>Permitted</w:t>
      </w:r>
      <w:proofErr w:type="gramEnd"/>
    </w:p>
    <w:p w14:paraId="560A5F4F" w14:textId="068A2BAB" w:rsidR="00D75187" w:rsidRDefault="004F4B0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New agricultural building, Summer/Church Lanes – </w:t>
      </w:r>
      <w:r w:rsidR="00592F32">
        <w:rPr>
          <w:sz w:val="28"/>
          <w:szCs w:val="28"/>
          <w:lang w:val="en-GB"/>
        </w:rPr>
        <w:t xml:space="preserve">variation of condition </w:t>
      </w:r>
      <w:r>
        <w:rPr>
          <w:sz w:val="28"/>
          <w:szCs w:val="28"/>
          <w:lang w:val="en-GB"/>
        </w:rPr>
        <w:t>opposed by PC</w:t>
      </w:r>
      <w:r w:rsidR="00CC3804">
        <w:rPr>
          <w:sz w:val="28"/>
          <w:szCs w:val="28"/>
          <w:lang w:val="en-GB"/>
        </w:rPr>
        <w:t>, ESC approved</w:t>
      </w:r>
      <w:r w:rsidR="00592F32">
        <w:rPr>
          <w:sz w:val="28"/>
          <w:szCs w:val="28"/>
          <w:lang w:val="en-GB"/>
        </w:rPr>
        <w:t>.</w:t>
      </w:r>
      <w:r w:rsidR="00A366D2">
        <w:rPr>
          <w:sz w:val="28"/>
          <w:szCs w:val="28"/>
          <w:lang w:val="en-GB"/>
        </w:rPr>
        <w:t xml:space="preserve"> Non-material amendment approved by ESC.</w:t>
      </w:r>
    </w:p>
    <w:p w14:paraId="034AEABB" w14:textId="77777777" w:rsidR="00832B1B" w:rsidRDefault="00D75187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Hillbrook</w:t>
      </w:r>
      <w:proofErr w:type="spellEnd"/>
      <w:r>
        <w:rPr>
          <w:sz w:val="28"/>
          <w:szCs w:val="28"/>
          <w:lang w:val="en-GB"/>
        </w:rPr>
        <w:t>, Common Lane – supported by PC. ESC decision awaited.</w:t>
      </w:r>
    </w:p>
    <w:p w14:paraId="5CCD707E" w14:textId="0FC17673" w:rsidR="004F4B03" w:rsidRDefault="00832B1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Five Winds Bungalow – supported by PC. Approved by ESC.</w:t>
      </w:r>
      <w:r w:rsidR="00CC3804">
        <w:rPr>
          <w:sz w:val="28"/>
          <w:szCs w:val="28"/>
          <w:lang w:val="en-GB"/>
        </w:rPr>
        <w:t xml:space="preserve"> </w:t>
      </w:r>
    </w:p>
    <w:p w14:paraId="0BE9C491" w14:textId="357D737E" w:rsidR="004B0B21" w:rsidRDefault="004B0B2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Fairways, Summer Lane – non-material amendment approved by ESC</w:t>
      </w:r>
      <w:r w:rsidR="005524FD">
        <w:rPr>
          <w:sz w:val="28"/>
          <w:szCs w:val="28"/>
          <w:lang w:val="en-GB"/>
        </w:rPr>
        <w:t>.</w:t>
      </w:r>
    </w:p>
    <w:p w14:paraId="5223409A" w14:textId="43D54A51" w:rsidR="009622B7" w:rsidRDefault="004F4B0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There have been no developments to report on enforcement matters at Bromeswell Corner, Orford Road (lodge &amp; jungle run)</w:t>
      </w:r>
      <w:r w:rsidR="00AB53F5">
        <w:rPr>
          <w:sz w:val="28"/>
          <w:szCs w:val="28"/>
          <w:lang w:val="en-GB"/>
        </w:rPr>
        <w:t xml:space="preserve"> or </w:t>
      </w:r>
      <w:r w:rsidR="009622B7">
        <w:rPr>
          <w:sz w:val="28"/>
          <w:szCs w:val="28"/>
          <w:lang w:val="en-GB"/>
        </w:rPr>
        <w:t>Korean Kitchen Takeaway on School Lane</w:t>
      </w:r>
      <w:r w:rsidR="00AB53F5">
        <w:rPr>
          <w:sz w:val="28"/>
          <w:szCs w:val="28"/>
          <w:lang w:val="en-GB"/>
        </w:rPr>
        <w:t>.</w:t>
      </w:r>
    </w:p>
    <w:p w14:paraId="6890D380" w14:textId="170EB9AF" w:rsidR="002E6A7B" w:rsidRDefault="002E6A7B">
      <w:pPr>
        <w:rPr>
          <w:sz w:val="28"/>
          <w:szCs w:val="28"/>
          <w:lang w:val="en-GB"/>
        </w:rPr>
      </w:pPr>
    </w:p>
    <w:p w14:paraId="2AF61C6F" w14:textId="7BA70AD8" w:rsidR="002E6A7B" w:rsidRDefault="002E6A7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Some local parish </w:t>
      </w:r>
      <w:proofErr w:type="gramStart"/>
      <w:r>
        <w:rPr>
          <w:sz w:val="28"/>
          <w:szCs w:val="28"/>
          <w:lang w:val="en-GB"/>
        </w:rPr>
        <w:t>council’s</w:t>
      </w:r>
      <w:proofErr w:type="gramEnd"/>
      <w:r>
        <w:rPr>
          <w:sz w:val="28"/>
          <w:szCs w:val="28"/>
          <w:lang w:val="en-GB"/>
        </w:rPr>
        <w:t xml:space="preserve"> are getting concerned at what they see as “large” developments (Melton, Rendlesham &amp; Wickham Market/</w:t>
      </w:r>
      <w:proofErr w:type="spellStart"/>
      <w:r>
        <w:rPr>
          <w:sz w:val="28"/>
          <w:szCs w:val="28"/>
          <w:lang w:val="en-GB"/>
        </w:rPr>
        <w:t>Pettistree</w:t>
      </w:r>
      <w:proofErr w:type="spellEnd"/>
      <w:r>
        <w:rPr>
          <w:sz w:val="28"/>
          <w:szCs w:val="28"/>
          <w:lang w:val="en-GB"/>
        </w:rPr>
        <w:t xml:space="preserve"> not being referred to them for comment despite </w:t>
      </w:r>
      <w:r w:rsidR="00757F72">
        <w:rPr>
          <w:sz w:val="28"/>
          <w:szCs w:val="28"/>
          <w:lang w:val="en-GB"/>
        </w:rPr>
        <w:t>possible impacts on their local communities.</w:t>
      </w:r>
    </w:p>
    <w:p w14:paraId="6862CF28" w14:textId="31B22034" w:rsidR="002E29D2" w:rsidRDefault="002E29D2">
      <w:pPr>
        <w:rPr>
          <w:sz w:val="28"/>
          <w:szCs w:val="28"/>
          <w:lang w:val="en-GB"/>
        </w:rPr>
      </w:pPr>
    </w:p>
    <w:p w14:paraId="5E09F904" w14:textId="0FBB4D27" w:rsidR="002E29D2" w:rsidRDefault="002E29D2">
      <w:pPr>
        <w:rPr>
          <w:sz w:val="28"/>
          <w:szCs w:val="28"/>
          <w:lang w:val="en-GB"/>
        </w:rPr>
      </w:pPr>
    </w:p>
    <w:p w14:paraId="10535E4D" w14:textId="5054BE00" w:rsidR="00EA7F02" w:rsidRDefault="002E29D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14:paraId="3F187066" w14:textId="6D25F19F" w:rsidR="00EA7F02" w:rsidRDefault="00EA7F0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Rob Cutts</w:t>
      </w:r>
    </w:p>
    <w:p w14:paraId="63B361B6" w14:textId="339F4B55" w:rsidR="00EA7F02" w:rsidRPr="00EA7F02" w:rsidRDefault="00EA7F0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Parish Clerk</w:t>
      </w:r>
    </w:p>
    <w:p w14:paraId="4F51EA01" w14:textId="148B03EE" w:rsidR="00EA7F02" w:rsidRDefault="00EA7F02">
      <w:pPr>
        <w:rPr>
          <w:sz w:val="28"/>
          <w:szCs w:val="28"/>
          <w:lang w:val="en-GB"/>
        </w:rPr>
      </w:pPr>
    </w:p>
    <w:p w14:paraId="34227397" w14:textId="77777777" w:rsidR="00EA7F02" w:rsidRPr="00EA7F02" w:rsidRDefault="00EA7F02">
      <w:pPr>
        <w:rPr>
          <w:sz w:val="28"/>
          <w:szCs w:val="28"/>
          <w:lang w:val="en-GB"/>
        </w:rPr>
      </w:pPr>
    </w:p>
    <w:p w14:paraId="78CAC24E" w14:textId="77777777" w:rsidR="00EA7F02" w:rsidRPr="004F4B03" w:rsidRDefault="00EA7F02">
      <w:pPr>
        <w:rPr>
          <w:sz w:val="28"/>
          <w:szCs w:val="28"/>
          <w:lang w:val="en-GB"/>
        </w:rPr>
      </w:pPr>
    </w:p>
    <w:p w14:paraId="5C9BC12B" w14:textId="5E4E77BE" w:rsidR="004F4B03" w:rsidRDefault="004F4B03">
      <w:pPr>
        <w:rPr>
          <w:sz w:val="28"/>
          <w:szCs w:val="28"/>
          <w:lang w:val="en-GB"/>
        </w:rPr>
      </w:pPr>
    </w:p>
    <w:p w14:paraId="0354AE29" w14:textId="77777777" w:rsidR="004F4B03" w:rsidRPr="004F4B03" w:rsidRDefault="004F4B03">
      <w:pPr>
        <w:rPr>
          <w:sz w:val="28"/>
          <w:szCs w:val="28"/>
          <w:lang w:val="en-GB"/>
        </w:rPr>
      </w:pPr>
    </w:p>
    <w:sectPr w:rsidR="004F4B03" w:rsidRPr="004F4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EF"/>
    <w:rsid w:val="0001541A"/>
    <w:rsid w:val="000520A9"/>
    <w:rsid w:val="000B4E29"/>
    <w:rsid w:val="0010166A"/>
    <w:rsid w:val="001905EB"/>
    <w:rsid w:val="00220196"/>
    <w:rsid w:val="00235B50"/>
    <w:rsid w:val="00252BC1"/>
    <w:rsid w:val="002A56EF"/>
    <w:rsid w:val="002E29D2"/>
    <w:rsid w:val="002E6A7B"/>
    <w:rsid w:val="00333203"/>
    <w:rsid w:val="0039432F"/>
    <w:rsid w:val="003B16E7"/>
    <w:rsid w:val="004820D3"/>
    <w:rsid w:val="004B0B21"/>
    <w:rsid w:val="004F4B03"/>
    <w:rsid w:val="005524FD"/>
    <w:rsid w:val="00584649"/>
    <w:rsid w:val="00592F32"/>
    <w:rsid w:val="00597F6A"/>
    <w:rsid w:val="005E5144"/>
    <w:rsid w:val="00640E2F"/>
    <w:rsid w:val="00645252"/>
    <w:rsid w:val="006779EF"/>
    <w:rsid w:val="00685963"/>
    <w:rsid w:val="006D3D74"/>
    <w:rsid w:val="006E2D3B"/>
    <w:rsid w:val="00757F72"/>
    <w:rsid w:val="00774EFC"/>
    <w:rsid w:val="00832B1B"/>
    <w:rsid w:val="0083569A"/>
    <w:rsid w:val="00855B35"/>
    <w:rsid w:val="00876742"/>
    <w:rsid w:val="00897104"/>
    <w:rsid w:val="00953CE6"/>
    <w:rsid w:val="009622B7"/>
    <w:rsid w:val="009B4283"/>
    <w:rsid w:val="009F2702"/>
    <w:rsid w:val="00A366D2"/>
    <w:rsid w:val="00A50020"/>
    <w:rsid w:val="00A71C9F"/>
    <w:rsid w:val="00A9204E"/>
    <w:rsid w:val="00AB53F5"/>
    <w:rsid w:val="00AE7F3A"/>
    <w:rsid w:val="00B54B3D"/>
    <w:rsid w:val="00BA3C61"/>
    <w:rsid w:val="00BE2055"/>
    <w:rsid w:val="00C574B0"/>
    <w:rsid w:val="00C67040"/>
    <w:rsid w:val="00CC3804"/>
    <w:rsid w:val="00D05CF1"/>
    <w:rsid w:val="00D4009D"/>
    <w:rsid w:val="00D705B2"/>
    <w:rsid w:val="00D75187"/>
    <w:rsid w:val="00DC5597"/>
    <w:rsid w:val="00DD36C3"/>
    <w:rsid w:val="00E04055"/>
    <w:rsid w:val="00E25E26"/>
    <w:rsid w:val="00E7026A"/>
    <w:rsid w:val="00E72674"/>
    <w:rsid w:val="00EA7F02"/>
    <w:rsid w:val="00EB5475"/>
    <w:rsid w:val="00F11B67"/>
    <w:rsid w:val="00F20C9E"/>
    <w:rsid w:val="00F257F6"/>
    <w:rsid w:val="00F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68A2"/>
  <w15:chartTrackingRefBased/>
  <w15:docId w15:val="{890E27A8-5970-4AFF-95F0-BD30DBDF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7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2</cp:revision>
  <cp:lastPrinted>2021-01-20T19:07:00Z</cp:lastPrinted>
  <dcterms:created xsi:type="dcterms:W3CDTF">2021-01-20T19:10:00Z</dcterms:created>
  <dcterms:modified xsi:type="dcterms:W3CDTF">2021-01-20T19:10:00Z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