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DF788" w14:textId="0CC4F416" w:rsidR="00A9204E" w:rsidRDefault="006779EF">
      <w:pPr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REPORT TO BROMESWELL PC MEETING, </w:t>
      </w:r>
      <w:r w:rsidR="00FA61A0">
        <w:rPr>
          <w:b/>
          <w:bCs/>
          <w:sz w:val="28"/>
          <w:szCs w:val="28"/>
          <w:u w:val="single"/>
          <w:lang w:val="en-GB"/>
        </w:rPr>
        <w:t>2</w:t>
      </w:r>
      <w:r w:rsidR="007D395B">
        <w:rPr>
          <w:b/>
          <w:bCs/>
          <w:sz w:val="28"/>
          <w:szCs w:val="28"/>
          <w:u w:val="single"/>
          <w:lang w:val="en-GB"/>
        </w:rPr>
        <w:t>9 MARCH</w:t>
      </w:r>
      <w:r w:rsidR="00AE7F3A">
        <w:rPr>
          <w:b/>
          <w:bCs/>
          <w:sz w:val="28"/>
          <w:szCs w:val="28"/>
          <w:u w:val="single"/>
          <w:lang w:val="en-GB"/>
        </w:rPr>
        <w:t xml:space="preserve"> 2021</w:t>
      </w:r>
    </w:p>
    <w:p w14:paraId="06F1477D" w14:textId="49D536A8" w:rsidR="006779EF" w:rsidRDefault="006779EF">
      <w:pPr>
        <w:rPr>
          <w:b/>
          <w:bCs/>
          <w:sz w:val="28"/>
          <w:szCs w:val="28"/>
          <w:u w:val="single"/>
          <w:lang w:val="en-GB"/>
        </w:rPr>
      </w:pPr>
    </w:p>
    <w:p w14:paraId="139E95AA" w14:textId="23E02E6C" w:rsidR="006779EF" w:rsidRDefault="006779EF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Sizewell C Consultation</w:t>
      </w:r>
      <w:r w:rsidR="00FA61A0">
        <w:rPr>
          <w:b/>
          <w:bCs/>
          <w:sz w:val="28"/>
          <w:szCs w:val="28"/>
          <w:lang w:val="en-GB"/>
        </w:rPr>
        <w:t xml:space="preserve"> &amp; </w:t>
      </w:r>
      <w:proofErr w:type="spellStart"/>
      <w:r w:rsidR="00FA61A0">
        <w:rPr>
          <w:b/>
          <w:bCs/>
          <w:sz w:val="28"/>
          <w:szCs w:val="28"/>
          <w:lang w:val="en-GB"/>
        </w:rPr>
        <w:t>Friston</w:t>
      </w:r>
      <w:proofErr w:type="spellEnd"/>
      <w:r w:rsidR="00FA61A0">
        <w:rPr>
          <w:b/>
          <w:bCs/>
          <w:sz w:val="28"/>
          <w:szCs w:val="28"/>
          <w:lang w:val="en-GB"/>
        </w:rPr>
        <w:t xml:space="preserve"> Sub-station </w:t>
      </w:r>
    </w:p>
    <w:p w14:paraId="686ED87D" w14:textId="7F743209" w:rsidR="006779EF" w:rsidRDefault="006779EF">
      <w:pPr>
        <w:rPr>
          <w:b/>
          <w:bCs/>
          <w:sz w:val="28"/>
          <w:szCs w:val="28"/>
          <w:lang w:val="en-GB"/>
        </w:rPr>
      </w:pPr>
    </w:p>
    <w:p w14:paraId="12682B7F" w14:textId="6E1BB2BF" w:rsidR="006779EF" w:rsidRDefault="0061504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Sizewell C project now in what should be final stage of </w:t>
      </w:r>
      <w:proofErr w:type="gramStart"/>
      <w:r>
        <w:rPr>
          <w:sz w:val="28"/>
          <w:szCs w:val="28"/>
          <w:lang w:val="en-GB"/>
        </w:rPr>
        <w:t>decision making</w:t>
      </w:r>
      <w:proofErr w:type="gramEnd"/>
      <w:r>
        <w:rPr>
          <w:sz w:val="28"/>
          <w:szCs w:val="28"/>
          <w:lang w:val="en-GB"/>
        </w:rPr>
        <w:t xml:space="preserve"> process being considered by Planning Inspectorate. Decision due by October 2021 as to whether to grant development order or not. EDF have made </w:t>
      </w:r>
      <w:proofErr w:type="gramStart"/>
      <w:r>
        <w:rPr>
          <w:sz w:val="28"/>
          <w:szCs w:val="28"/>
          <w:lang w:val="en-GB"/>
        </w:rPr>
        <w:t>a number of</w:t>
      </w:r>
      <w:proofErr w:type="gramEnd"/>
      <w:r>
        <w:rPr>
          <w:sz w:val="28"/>
          <w:szCs w:val="28"/>
          <w:lang w:val="en-GB"/>
        </w:rPr>
        <w:t xml:space="preserve"> late changes to </w:t>
      </w:r>
      <w:r w:rsidR="009C3F53">
        <w:rPr>
          <w:sz w:val="28"/>
          <w:szCs w:val="28"/>
          <w:lang w:val="en-GB"/>
        </w:rPr>
        <w:t>split in proportion of development traffic between sea, rail &amp; road</w:t>
      </w:r>
      <w:r w:rsidR="00C74A8A">
        <w:rPr>
          <w:sz w:val="28"/>
          <w:szCs w:val="28"/>
          <w:lang w:val="en-GB"/>
        </w:rPr>
        <w:t>.</w:t>
      </w:r>
    </w:p>
    <w:p w14:paraId="37A5391B" w14:textId="588C940E" w:rsidR="00C74A8A" w:rsidRDefault="00C74A8A">
      <w:pPr>
        <w:rPr>
          <w:sz w:val="28"/>
          <w:szCs w:val="28"/>
          <w:lang w:val="en-GB"/>
        </w:rPr>
      </w:pPr>
    </w:p>
    <w:p w14:paraId="2418AF5C" w14:textId="1E941501" w:rsidR="00C74A8A" w:rsidRDefault="00C74A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 further news received regarding </w:t>
      </w:r>
      <w:proofErr w:type="spellStart"/>
      <w:r>
        <w:rPr>
          <w:sz w:val="28"/>
          <w:szCs w:val="28"/>
          <w:lang w:val="en-GB"/>
        </w:rPr>
        <w:t>Friston</w:t>
      </w:r>
      <w:proofErr w:type="spellEnd"/>
      <w:r>
        <w:rPr>
          <w:sz w:val="28"/>
          <w:szCs w:val="28"/>
          <w:lang w:val="en-GB"/>
        </w:rPr>
        <w:t xml:space="preserve"> wind farm sub-station </w:t>
      </w:r>
      <w:r w:rsidR="00C37B32">
        <w:rPr>
          <w:sz w:val="28"/>
          <w:szCs w:val="28"/>
          <w:lang w:val="en-GB"/>
        </w:rPr>
        <w:t>planning issues on project led by Scottish Power.</w:t>
      </w:r>
    </w:p>
    <w:p w14:paraId="588BBA1C" w14:textId="77777777" w:rsidR="00F11B67" w:rsidRDefault="00F11B67">
      <w:pPr>
        <w:rPr>
          <w:sz w:val="28"/>
          <w:szCs w:val="28"/>
          <w:lang w:val="en-GB"/>
        </w:rPr>
      </w:pPr>
    </w:p>
    <w:p w14:paraId="1DBF1626" w14:textId="07B9A888" w:rsidR="006779EF" w:rsidRDefault="006779EF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Police Report</w:t>
      </w:r>
    </w:p>
    <w:p w14:paraId="78832AF7" w14:textId="5B144375" w:rsidR="00953CE6" w:rsidRDefault="00953CE6">
      <w:pPr>
        <w:rPr>
          <w:b/>
          <w:bCs/>
          <w:sz w:val="28"/>
          <w:szCs w:val="28"/>
          <w:lang w:val="en-GB"/>
        </w:rPr>
      </w:pPr>
    </w:p>
    <w:p w14:paraId="2D4F8F7D" w14:textId="7A0821CB" w:rsidR="006779EF" w:rsidRDefault="00F2703C">
      <w:pPr>
        <w:rPr>
          <w:sz w:val="28"/>
          <w:szCs w:val="28"/>
          <w:lang w:val="en-GB"/>
        </w:rPr>
      </w:pPr>
      <w:r w:rsidRPr="00CE369A">
        <w:rPr>
          <w:sz w:val="28"/>
          <w:szCs w:val="28"/>
          <w:lang w:val="en-GB"/>
        </w:rPr>
        <w:t>Figures for December-</w:t>
      </w:r>
      <w:r w:rsidR="00CE369A" w:rsidRPr="00CE369A">
        <w:rPr>
          <w:sz w:val="28"/>
          <w:szCs w:val="28"/>
          <w:lang w:val="en-GB"/>
        </w:rPr>
        <w:t>February available:</w:t>
      </w:r>
    </w:p>
    <w:p w14:paraId="25055FC6" w14:textId="77777777" w:rsidR="00CE369A" w:rsidRPr="00CE369A" w:rsidRDefault="00CE369A">
      <w:pPr>
        <w:rPr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307"/>
        <w:gridCol w:w="2195"/>
        <w:gridCol w:w="2300"/>
      </w:tblGrid>
      <w:tr w:rsidR="00252BC1" w:rsidRPr="00E66FF9" w14:paraId="292C944C" w14:textId="77777777" w:rsidTr="00252BC1">
        <w:tc>
          <w:tcPr>
            <w:tcW w:w="2548" w:type="dxa"/>
          </w:tcPr>
          <w:p w14:paraId="36E5F5D9" w14:textId="77777777" w:rsidR="00252BC1" w:rsidRDefault="00252BC1" w:rsidP="00C67040">
            <w:pPr>
              <w:rPr>
                <w:u w:val="single"/>
                <w:lang w:val="en-GB"/>
              </w:rPr>
            </w:pPr>
          </w:p>
        </w:tc>
        <w:tc>
          <w:tcPr>
            <w:tcW w:w="2307" w:type="dxa"/>
          </w:tcPr>
          <w:p w14:paraId="79505ECB" w14:textId="600A297D" w:rsidR="00252BC1" w:rsidRPr="00E66FF9" w:rsidRDefault="00CE369A" w:rsidP="00C6704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Dec</w:t>
            </w:r>
          </w:p>
        </w:tc>
        <w:tc>
          <w:tcPr>
            <w:tcW w:w="2195" w:type="dxa"/>
          </w:tcPr>
          <w:p w14:paraId="603475A8" w14:textId="0AEE2BFF" w:rsidR="00252BC1" w:rsidRDefault="00CE369A" w:rsidP="00C6704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Jan</w:t>
            </w:r>
          </w:p>
        </w:tc>
        <w:tc>
          <w:tcPr>
            <w:tcW w:w="2300" w:type="dxa"/>
          </w:tcPr>
          <w:p w14:paraId="2F156178" w14:textId="69225D22" w:rsidR="00252BC1" w:rsidRPr="00E66FF9" w:rsidRDefault="00CE369A" w:rsidP="00C6704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Feb</w:t>
            </w:r>
          </w:p>
        </w:tc>
      </w:tr>
      <w:tr w:rsidR="00252BC1" w:rsidRPr="00E66FF9" w14:paraId="70F323BF" w14:textId="77777777" w:rsidTr="00252BC1">
        <w:tc>
          <w:tcPr>
            <w:tcW w:w="2548" w:type="dxa"/>
          </w:tcPr>
          <w:p w14:paraId="2E41FED4" w14:textId="77777777" w:rsidR="00252BC1" w:rsidRPr="00E66FF9" w:rsidRDefault="00252BC1" w:rsidP="00C67040">
            <w:pPr>
              <w:rPr>
                <w:lang w:val="en-GB"/>
              </w:rPr>
            </w:pPr>
            <w:r w:rsidRPr="00E66FF9">
              <w:rPr>
                <w:lang w:val="en-GB"/>
              </w:rPr>
              <w:t>Woodbridge SNT</w:t>
            </w:r>
          </w:p>
        </w:tc>
        <w:tc>
          <w:tcPr>
            <w:tcW w:w="2307" w:type="dxa"/>
          </w:tcPr>
          <w:p w14:paraId="2483DB94" w14:textId="3B20C959" w:rsidR="00252BC1" w:rsidRPr="00E66FF9" w:rsidRDefault="0027041B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218</w:t>
            </w:r>
          </w:p>
        </w:tc>
        <w:tc>
          <w:tcPr>
            <w:tcW w:w="2195" w:type="dxa"/>
          </w:tcPr>
          <w:p w14:paraId="7B3369A5" w14:textId="391659EC" w:rsidR="00252BC1" w:rsidRDefault="0027041B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</w:t>
            </w:r>
          </w:p>
        </w:tc>
        <w:tc>
          <w:tcPr>
            <w:tcW w:w="2300" w:type="dxa"/>
          </w:tcPr>
          <w:p w14:paraId="34D9CEFA" w14:textId="7251607D" w:rsidR="00252BC1" w:rsidRPr="00E66FF9" w:rsidRDefault="00DB7B7F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153</w:t>
            </w:r>
          </w:p>
        </w:tc>
      </w:tr>
      <w:tr w:rsidR="00252BC1" w:rsidRPr="00E66FF9" w14:paraId="652824AE" w14:textId="77777777" w:rsidTr="00252BC1">
        <w:tc>
          <w:tcPr>
            <w:tcW w:w="2548" w:type="dxa"/>
          </w:tcPr>
          <w:p w14:paraId="3AAF50AC" w14:textId="77777777" w:rsidR="00252BC1" w:rsidRPr="00E66FF9" w:rsidRDefault="00252BC1" w:rsidP="00C6704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Bromeswell</w:t>
            </w:r>
          </w:p>
        </w:tc>
        <w:tc>
          <w:tcPr>
            <w:tcW w:w="2307" w:type="dxa"/>
          </w:tcPr>
          <w:p w14:paraId="0D5AEC54" w14:textId="140492FC" w:rsidR="00252BC1" w:rsidRPr="00E66FF9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195" w:type="dxa"/>
          </w:tcPr>
          <w:p w14:paraId="318B4A71" w14:textId="0E8792C9" w:rsidR="00252BC1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00" w:type="dxa"/>
          </w:tcPr>
          <w:p w14:paraId="72B69ABE" w14:textId="36EF81FD" w:rsidR="00252BC1" w:rsidRPr="00E66FF9" w:rsidRDefault="00DB7B7F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252BC1" w:rsidRPr="00E66FF9" w14:paraId="23F6329B" w14:textId="77777777" w:rsidTr="00252BC1">
        <w:tc>
          <w:tcPr>
            <w:tcW w:w="2548" w:type="dxa"/>
          </w:tcPr>
          <w:p w14:paraId="50140A91" w14:textId="77777777" w:rsidR="00252BC1" w:rsidRPr="00E66FF9" w:rsidRDefault="00252BC1" w:rsidP="00C670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Eyke</w:t>
            </w:r>
            <w:proofErr w:type="spellEnd"/>
          </w:p>
        </w:tc>
        <w:tc>
          <w:tcPr>
            <w:tcW w:w="2307" w:type="dxa"/>
          </w:tcPr>
          <w:p w14:paraId="65676C7A" w14:textId="1918DDA2" w:rsidR="00252BC1" w:rsidRPr="00E66FF9" w:rsidRDefault="00E25E26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2195" w:type="dxa"/>
          </w:tcPr>
          <w:p w14:paraId="590DEDF6" w14:textId="0216D635" w:rsidR="00252BC1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00" w:type="dxa"/>
          </w:tcPr>
          <w:p w14:paraId="2BE630F9" w14:textId="412450AC" w:rsidR="00252BC1" w:rsidRPr="00E66FF9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252BC1" w:rsidRPr="00E66FF9" w14:paraId="702E0FB4" w14:textId="77777777" w:rsidTr="00252BC1">
        <w:tc>
          <w:tcPr>
            <w:tcW w:w="2548" w:type="dxa"/>
          </w:tcPr>
          <w:p w14:paraId="37003D2D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Sutton</w:t>
            </w:r>
          </w:p>
        </w:tc>
        <w:tc>
          <w:tcPr>
            <w:tcW w:w="2307" w:type="dxa"/>
          </w:tcPr>
          <w:p w14:paraId="24EA73B4" w14:textId="5885880D" w:rsidR="00252BC1" w:rsidRPr="00E66FF9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195" w:type="dxa"/>
          </w:tcPr>
          <w:p w14:paraId="728351CB" w14:textId="15C138B0" w:rsidR="00252BC1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2300" w:type="dxa"/>
          </w:tcPr>
          <w:p w14:paraId="1F37AB29" w14:textId="30A862DF" w:rsidR="00252BC1" w:rsidRPr="00E66FF9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252BC1" w:rsidRPr="00E66FF9" w14:paraId="25E40C4E" w14:textId="77777777" w:rsidTr="00252BC1">
        <w:tc>
          <w:tcPr>
            <w:tcW w:w="2548" w:type="dxa"/>
          </w:tcPr>
          <w:p w14:paraId="321D65ED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Sutton Heath</w:t>
            </w:r>
          </w:p>
        </w:tc>
        <w:tc>
          <w:tcPr>
            <w:tcW w:w="2307" w:type="dxa"/>
          </w:tcPr>
          <w:p w14:paraId="3C5A1A7A" w14:textId="7C18FD90" w:rsidR="00252BC1" w:rsidRPr="00E66FF9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195" w:type="dxa"/>
          </w:tcPr>
          <w:p w14:paraId="7E3291B8" w14:textId="65C46D8E" w:rsidR="00252BC1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2300" w:type="dxa"/>
          </w:tcPr>
          <w:p w14:paraId="2CDC008D" w14:textId="3BABBE52" w:rsidR="00252BC1" w:rsidRPr="00E66FF9" w:rsidRDefault="00E87B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52BC1" w:rsidRPr="00E66FF9" w14:paraId="0C936008" w14:textId="77777777" w:rsidTr="00252BC1">
        <w:tc>
          <w:tcPr>
            <w:tcW w:w="2548" w:type="dxa"/>
          </w:tcPr>
          <w:p w14:paraId="38B8DF5B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Ufford</w:t>
            </w:r>
          </w:p>
        </w:tc>
        <w:tc>
          <w:tcPr>
            <w:tcW w:w="2307" w:type="dxa"/>
          </w:tcPr>
          <w:p w14:paraId="6036D365" w14:textId="3DE8D4EC" w:rsidR="00252BC1" w:rsidRPr="00E66FF9" w:rsidRDefault="00840455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195" w:type="dxa"/>
          </w:tcPr>
          <w:p w14:paraId="307A9DEB" w14:textId="283D3B5A" w:rsidR="00252BC1" w:rsidRDefault="00840455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00" w:type="dxa"/>
          </w:tcPr>
          <w:p w14:paraId="275D89CA" w14:textId="501AA876" w:rsidR="00252BC1" w:rsidRPr="00E66FF9" w:rsidRDefault="00840455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252BC1" w:rsidRPr="00E66FF9" w14:paraId="2D107A19" w14:textId="77777777" w:rsidTr="00252BC1">
        <w:tc>
          <w:tcPr>
            <w:tcW w:w="2548" w:type="dxa"/>
          </w:tcPr>
          <w:p w14:paraId="0CD7C5DC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Rendlesham</w:t>
            </w:r>
          </w:p>
        </w:tc>
        <w:tc>
          <w:tcPr>
            <w:tcW w:w="2307" w:type="dxa"/>
          </w:tcPr>
          <w:p w14:paraId="110D0179" w14:textId="0D47909B" w:rsidR="00252BC1" w:rsidRPr="00E66FF9" w:rsidRDefault="00840455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195" w:type="dxa"/>
          </w:tcPr>
          <w:p w14:paraId="7F70BB5F" w14:textId="0D834761" w:rsidR="00252BC1" w:rsidRDefault="00840455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300" w:type="dxa"/>
          </w:tcPr>
          <w:p w14:paraId="4CCE502E" w14:textId="00560924" w:rsidR="00252BC1" w:rsidRPr="00E66FF9" w:rsidRDefault="00840455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252BC1" w:rsidRPr="00E66FF9" w14:paraId="5370D6EE" w14:textId="77777777" w:rsidTr="00252BC1">
        <w:tc>
          <w:tcPr>
            <w:tcW w:w="2548" w:type="dxa"/>
          </w:tcPr>
          <w:p w14:paraId="6C28CF1F" w14:textId="77777777" w:rsidR="00252BC1" w:rsidRPr="00E66FF9" w:rsidRDefault="00252BC1" w:rsidP="00C67040">
            <w:pPr>
              <w:rPr>
                <w:lang w:val="en-GB"/>
              </w:rPr>
            </w:pPr>
            <w:r>
              <w:rPr>
                <w:lang w:val="en-GB"/>
              </w:rPr>
              <w:t>Woodbridge &amp; Melton</w:t>
            </w:r>
          </w:p>
        </w:tc>
        <w:tc>
          <w:tcPr>
            <w:tcW w:w="2307" w:type="dxa"/>
          </w:tcPr>
          <w:p w14:paraId="465D0CED" w14:textId="1C24AC9A" w:rsidR="00252BC1" w:rsidRPr="00E66FF9" w:rsidRDefault="00730C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  <w:tc>
          <w:tcPr>
            <w:tcW w:w="2195" w:type="dxa"/>
          </w:tcPr>
          <w:p w14:paraId="74C4289D" w14:textId="4A194D9E" w:rsidR="00252BC1" w:rsidRDefault="00730C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59</w:t>
            </w:r>
          </w:p>
        </w:tc>
        <w:tc>
          <w:tcPr>
            <w:tcW w:w="2300" w:type="dxa"/>
          </w:tcPr>
          <w:p w14:paraId="749EC162" w14:textId="314F5F04" w:rsidR="00252BC1" w:rsidRPr="00E66FF9" w:rsidRDefault="00730C57" w:rsidP="00C670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</w:tr>
    </w:tbl>
    <w:p w14:paraId="24FD24D7" w14:textId="1F0BD33D" w:rsidR="006779EF" w:rsidRDefault="006779EF">
      <w:pPr>
        <w:rPr>
          <w:b/>
          <w:bCs/>
          <w:sz w:val="28"/>
          <w:szCs w:val="28"/>
          <w:lang w:val="en-GB"/>
        </w:rPr>
      </w:pPr>
    </w:p>
    <w:p w14:paraId="23B39005" w14:textId="720C6327" w:rsidR="00730C57" w:rsidRPr="00730C57" w:rsidRDefault="00730C5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Reported offences are 3 burglaries, 3 reports of anti-social behaviour (covid rule </w:t>
      </w:r>
      <w:proofErr w:type="spellStart"/>
      <w:r>
        <w:rPr>
          <w:sz w:val="28"/>
          <w:szCs w:val="28"/>
          <w:lang w:val="en-GB"/>
        </w:rPr>
        <w:t>brewaches</w:t>
      </w:r>
      <w:proofErr w:type="spellEnd"/>
      <w:r>
        <w:rPr>
          <w:sz w:val="28"/>
          <w:szCs w:val="28"/>
          <w:lang w:val="en-GB"/>
        </w:rPr>
        <w:t>?)</w:t>
      </w:r>
      <w:r w:rsidR="00F11379">
        <w:rPr>
          <w:sz w:val="28"/>
          <w:szCs w:val="28"/>
          <w:lang w:val="en-GB"/>
        </w:rPr>
        <w:t>, and 1 report of criminal damage.</w:t>
      </w:r>
    </w:p>
    <w:p w14:paraId="1D4B2666" w14:textId="77777777" w:rsidR="00730C57" w:rsidRDefault="00730C57">
      <w:pPr>
        <w:rPr>
          <w:b/>
          <w:bCs/>
          <w:sz w:val="28"/>
          <w:szCs w:val="28"/>
          <w:lang w:val="en-GB"/>
        </w:rPr>
      </w:pPr>
    </w:p>
    <w:p w14:paraId="719FEB1E" w14:textId="77777777" w:rsidR="00730C57" w:rsidRDefault="00730C57">
      <w:pPr>
        <w:rPr>
          <w:b/>
          <w:bCs/>
          <w:sz w:val="28"/>
          <w:szCs w:val="28"/>
          <w:lang w:val="en-GB"/>
        </w:rPr>
      </w:pPr>
    </w:p>
    <w:p w14:paraId="46BFDDFF" w14:textId="670CD04C" w:rsidR="004F4B03" w:rsidRDefault="004F4B03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Planning Applications &amp; Enforcement</w:t>
      </w:r>
    </w:p>
    <w:p w14:paraId="671C4E2A" w14:textId="43EF8A4F" w:rsidR="004F4B03" w:rsidRDefault="004F4B03">
      <w:pPr>
        <w:rPr>
          <w:b/>
          <w:bCs/>
          <w:sz w:val="28"/>
          <w:szCs w:val="28"/>
          <w:lang w:val="en-GB"/>
        </w:rPr>
      </w:pPr>
    </w:p>
    <w:p w14:paraId="7AB7E116" w14:textId="7B42F197" w:rsidR="009173FB" w:rsidRDefault="00D75187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Hillbrook</w:t>
      </w:r>
      <w:proofErr w:type="spellEnd"/>
      <w:r>
        <w:rPr>
          <w:sz w:val="28"/>
          <w:szCs w:val="28"/>
          <w:lang w:val="en-GB"/>
        </w:rPr>
        <w:t xml:space="preserve">, Common Lane – </w:t>
      </w:r>
      <w:r w:rsidR="00501628">
        <w:rPr>
          <w:sz w:val="28"/>
          <w:szCs w:val="28"/>
          <w:lang w:val="en-GB"/>
        </w:rPr>
        <w:t>Side extension &amp; garden outbuilding (DC/</w:t>
      </w:r>
      <w:r w:rsidR="009173FB">
        <w:rPr>
          <w:sz w:val="28"/>
          <w:szCs w:val="28"/>
          <w:lang w:val="en-GB"/>
        </w:rPr>
        <w:t xml:space="preserve">20/5242) </w:t>
      </w:r>
      <w:r>
        <w:rPr>
          <w:sz w:val="28"/>
          <w:szCs w:val="28"/>
          <w:lang w:val="en-GB"/>
        </w:rPr>
        <w:t>supported by PC</w:t>
      </w:r>
      <w:r w:rsidR="009173FB">
        <w:rPr>
          <w:sz w:val="28"/>
          <w:szCs w:val="28"/>
          <w:lang w:val="en-GB"/>
        </w:rPr>
        <w:t xml:space="preserve"> &amp; approved by </w:t>
      </w:r>
      <w:r>
        <w:rPr>
          <w:sz w:val="28"/>
          <w:szCs w:val="28"/>
          <w:lang w:val="en-GB"/>
        </w:rPr>
        <w:t>ESC</w:t>
      </w:r>
      <w:r w:rsidR="009173FB">
        <w:rPr>
          <w:sz w:val="28"/>
          <w:szCs w:val="28"/>
          <w:lang w:val="en-GB"/>
        </w:rPr>
        <w:t>.</w:t>
      </w:r>
    </w:p>
    <w:p w14:paraId="523B1D93" w14:textId="48524D6D" w:rsidR="009173FB" w:rsidRDefault="009173FB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Hillbrook</w:t>
      </w:r>
      <w:proofErr w:type="spellEnd"/>
      <w:r w:rsidR="00F941C0">
        <w:rPr>
          <w:sz w:val="28"/>
          <w:szCs w:val="28"/>
          <w:lang w:val="en-GB"/>
        </w:rPr>
        <w:t xml:space="preserve">, Common Lane – Revised application for garden outbuilding (DC/21/1388) </w:t>
      </w:r>
      <w:r w:rsidR="00585E69">
        <w:rPr>
          <w:sz w:val="28"/>
          <w:szCs w:val="28"/>
          <w:lang w:val="en-GB"/>
        </w:rPr>
        <w:t>yet to be considered by PC.</w:t>
      </w:r>
    </w:p>
    <w:p w14:paraId="358261FB" w14:textId="07704FF3" w:rsidR="004F5129" w:rsidRDefault="0010117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Fairways, Summer Lane – non-material amen</w:t>
      </w:r>
      <w:r w:rsidR="00AF7FED">
        <w:rPr>
          <w:sz w:val="28"/>
          <w:szCs w:val="28"/>
          <w:lang w:val="en-GB"/>
        </w:rPr>
        <w:t xml:space="preserve">dment permitted by </w:t>
      </w:r>
      <w:proofErr w:type="gramStart"/>
      <w:r w:rsidR="00AF7FED">
        <w:rPr>
          <w:sz w:val="28"/>
          <w:szCs w:val="28"/>
          <w:lang w:val="en-GB"/>
        </w:rPr>
        <w:t>ESC</w:t>
      </w:r>
      <w:proofErr w:type="gramEnd"/>
    </w:p>
    <w:p w14:paraId="1A76D278" w14:textId="35F5181A" w:rsidR="007F4E3C" w:rsidRDefault="007F4E3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Fern Acre, Sandy Lane – supported by PC. ESC decision awaited.</w:t>
      </w:r>
    </w:p>
    <w:p w14:paraId="16AA8094" w14:textId="00FA7BC7" w:rsidR="007F4E3C" w:rsidRDefault="00D3530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Meadow View, School Lane – Supported by PC, ESC decision awaited.</w:t>
      </w:r>
    </w:p>
    <w:p w14:paraId="5223409A" w14:textId="43D54A51" w:rsidR="009622B7" w:rsidRDefault="004F4B0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There have been no developments to report on enforcement matters at Bromeswell Corner, Orford Road (lodge &amp; jungle run)</w:t>
      </w:r>
      <w:r w:rsidR="00AB53F5">
        <w:rPr>
          <w:sz w:val="28"/>
          <w:szCs w:val="28"/>
          <w:lang w:val="en-GB"/>
        </w:rPr>
        <w:t xml:space="preserve"> or </w:t>
      </w:r>
      <w:r w:rsidR="009622B7">
        <w:rPr>
          <w:sz w:val="28"/>
          <w:szCs w:val="28"/>
          <w:lang w:val="en-GB"/>
        </w:rPr>
        <w:t>Korean Kitchen Takeaway on School Lane</w:t>
      </w:r>
      <w:r w:rsidR="00AB53F5">
        <w:rPr>
          <w:sz w:val="28"/>
          <w:szCs w:val="28"/>
          <w:lang w:val="en-GB"/>
        </w:rPr>
        <w:t>.</w:t>
      </w:r>
    </w:p>
    <w:p w14:paraId="6890D380" w14:textId="170EB9AF" w:rsidR="002E6A7B" w:rsidRDefault="002E6A7B">
      <w:pPr>
        <w:rPr>
          <w:sz w:val="28"/>
          <w:szCs w:val="28"/>
          <w:lang w:val="en-GB"/>
        </w:rPr>
      </w:pPr>
    </w:p>
    <w:p w14:paraId="6862CF28" w14:textId="37D05B9C" w:rsidR="002E29D2" w:rsidRDefault="00971BD4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One </w:t>
      </w:r>
      <w:r w:rsidR="00A91943">
        <w:rPr>
          <w:b/>
          <w:bCs/>
          <w:sz w:val="28"/>
          <w:szCs w:val="28"/>
          <w:lang w:val="en-GB"/>
        </w:rPr>
        <w:t>Life Suffolk Service</w:t>
      </w:r>
    </w:p>
    <w:p w14:paraId="4F57356E" w14:textId="5FA99AEB" w:rsidR="00A91943" w:rsidRDefault="00A91943">
      <w:pPr>
        <w:rPr>
          <w:b/>
          <w:bCs/>
          <w:sz w:val="28"/>
          <w:szCs w:val="28"/>
          <w:lang w:val="en-GB"/>
        </w:rPr>
      </w:pPr>
    </w:p>
    <w:p w14:paraId="08A92109" w14:textId="60663AA5" w:rsidR="00A91943" w:rsidRPr="00A91943" w:rsidRDefault="00A9194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Councillors confirmed by email that this was not an initiative for the PC to become involved with.</w:t>
      </w:r>
    </w:p>
    <w:p w14:paraId="5E09F904" w14:textId="0FBB4D27" w:rsidR="002E29D2" w:rsidRDefault="002E29D2">
      <w:pPr>
        <w:rPr>
          <w:sz w:val="28"/>
          <w:szCs w:val="28"/>
          <w:lang w:val="en-GB"/>
        </w:rPr>
      </w:pPr>
    </w:p>
    <w:p w14:paraId="10535E4D" w14:textId="5054BE00" w:rsidR="00EA7F02" w:rsidRDefault="002E29D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14:paraId="3F187066" w14:textId="6D25F19F" w:rsidR="00EA7F02" w:rsidRDefault="00EA7F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Rob Cutts</w:t>
      </w:r>
    </w:p>
    <w:p w14:paraId="63B361B6" w14:textId="339F4B55" w:rsidR="00EA7F02" w:rsidRPr="00EA7F02" w:rsidRDefault="00EA7F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Parish Clerk</w:t>
      </w:r>
    </w:p>
    <w:p w14:paraId="4F51EA01" w14:textId="148B03EE" w:rsidR="00EA7F02" w:rsidRDefault="00EA7F02">
      <w:pPr>
        <w:rPr>
          <w:sz w:val="28"/>
          <w:szCs w:val="28"/>
          <w:lang w:val="en-GB"/>
        </w:rPr>
      </w:pPr>
    </w:p>
    <w:p w14:paraId="34227397" w14:textId="77777777" w:rsidR="00EA7F02" w:rsidRPr="00EA7F02" w:rsidRDefault="00EA7F02">
      <w:pPr>
        <w:rPr>
          <w:sz w:val="28"/>
          <w:szCs w:val="28"/>
          <w:lang w:val="en-GB"/>
        </w:rPr>
      </w:pPr>
    </w:p>
    <w:p w14:paraId="78CAC24E" w14:textId="77777777" w:rsidR="00EA7F02" w:rsidRPr="004F4B03" w:rsidRDefault="00EA7F02">
      <w:pPr>
        <w:rPr>
          <w:sz w:val="28"/>
          <w:szCs w:val="28"/>
          <w:lang w:val="en-GB"/>
        </w:rPr>
      </w:pPr>
    </w:p>
    <w:p w14:paraId="5C9BC12B" w14:textId="5E4E77BE" w:rsidR="004F4B03" w:rsidRDefault="004F4B03">
      <w:pPr>
        <w:rPr>
          <w:sz w:val="28"/>
          <w:szCs w:val="28"/>
          <w:lang w:val="en-GB"/>
        </w:rPr>
      </w:pPr>
    </w:p>
    <w:p w14:paraId="0354AE29" w14:textId="77777777" w:rsidR="004F4B03" w:rsidRPr="004F4B03" w:rsidRDefault="004F4B03">
      <w:pPr>
        <w:rPr>
          <w:sz w:val="28"/>
          <w:szCs w:val="28"/>
          <w:lang w:val="en-GB"/>
        </w:rPr>
      </w:pPr>
    </w:p>
    <w:sectPr w:rsidR="004F4B03" w:rsidRPr="004F4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EF"/>
    <w:rsid w:val="0001541A"/>
    <w:rsid w:val="000520A9"/>
    <w:rsid w:val="000B4E29"/>
    <w:rsid w:val="00101176"/>
    <w:rsid w:val="0010166A"/>
    <w:rsid w:val="001905EB"/>
    <w:rsid w:val="00220196"/>
    <w:rsid w:val="00235B50"/>
    <w:rsid w:val="00252BC1"/>
    <w:rsid w:val="0027041B"/>
    <w:rsid w:val="002A56EF"/>
    <w:rsid w:val="002E29D2"/>
    <w:rsid w:val="002E6A7B"/>
    <w:rsid w:val="00333203"/>
    <w:rsid w:val="0039432F"/>
    <w:rsid w:val="003B16E7"/>
    <w:rsid w:val="004820D3"/>
    <w:rsid w:val="004B0B21"/>
    <w:rsid w:val="004F4B03"/>
    <w:rsid w:val="004F5129"/>
    <w:rsid w:val="00501628"/>
    <w:rsid w:val="005524FD"/>
    <w:rsid w:val="00584649"/>
    <w:rsid w:val="00585E69"/>
    <w:rsid w:val="00592F32"/>
    <w:rsid w:val="00597F6A"/>
    <w:rsid w:val="005E5144"/>
    <w:rsid w:val="0061504B"/>
    <w:rsid w:val="00640E2F"/>
    <w:rsid w:val="00645252"/>
    <w:rsid w:val="006779EF"/>
    <w:rsid w:val="00685963"/>
    <w:rsid w:val="006D3D74"/>
    <w:rsid w:val="006E2D3B"/>
    <w:rsid w:val="00730C57"/>
    <w:rsid w:val="00757F72"/>
    <w:rsid w:val="00774EFC"/>
    <w:rsid w:val="007760B3"/>
    <w:rsid w:val="007D395B"/>
    <w:rsid w:val="007F4E3C"/>
    <w:rsid w:val="00832B1B"/>
    <w:rsid w:val="0083569A"/>
    <w:rsid w:val="00840455"/>
    <w:rsid w:val="00855B35"/>
    <w:rsid w:val="00876742"/>
    <w:rsid w:val="00897104"/>
    <w:rsid w:val="009173FB"/>
    <w:rsid w:val="00953CE6"/>
    <w:rsid w:val="009622B7"/>
    <w:rsid w:val="00971BD4"/>
    <w:rsid w:val="009B4283"/>
    <w:rsid w:val="009C3F53"/>
    <w:rsid w:val="009F2702"/>
    <w:rsid w:val="00A366D2"/>
    <w:rsid w:val="00A50020"/>
    <w:rsid w:val="00A71C9F"/>
    <w:rsid w:val="00A91943"/>
    <w:rsid w:val="00A9204E"/>
    <w:rsid w:val="00AB53F5"/>
    <w:rsid w:val="00AE7F3A"/>
    <w:rsid w:val="00AF7FED"/>
    <w:rsid w:val="00B54B3D"/>
    <w:rsid w:val="00BA3C61"/>
    <w:rsid w:val="00BE2055"/>
    <w:rsid w:val="00C37B32"/>
    <w:rsid w:val="00C574B0"/>
    <w:rsid w:val="00C67040"/>
    <w:rsid w:val="00C74A8A"/>
    <w:rsid w:val="00CC3804"/>
    <w:rsid w:val="00CE369A"/>
    <w:rsid w:val="00D05CF1"/>
    <w:rsid w:val="00D35305"/>
    <w:rsid w:val="00D4009D"/>
    <w:rsid w:val="00D53768"/>
    <w:rsid w:val="00D705B2"/>
    <w:rsid w:val="00D75187"/>
    <w:rsid w:val="00DB7B7F"/>
    <w:rsid w:val="00DC5597"/>
    <w:rsid w:val="00DD36C3"/>
    <w:rsid w:val="00E04055"/>
    <w:rsid w:val="00E25E26"/>
    <w:rsid w:val="00E7026A"/>
    <w:rsid w:val="00E72674"/>
    <w:rsid w:val="00E87B57"/>
    <w:rsid w:val="00EA7F02"/>
    <w:rsid w:val="00EB5475"/>
    <w:rsid w:val="00F11379"/>
    <w:rsid w:val="00F11B67"/>
    <w:rsid w:val="00F20C9E"/>
    <w:rsid w:val="00F257F6"/>
    <w:rsid w:val="00F2703C"/>
    <w:rsid w:val="00F941C0"/>
    <w:rsid w:val="00F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68A2"/>
  <w15:chartTrackingRefBased/>
  <w15:docId w15:val="{890E27A8-5970-4AFF-95F0-BD30DBDF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7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2</cp:revision>
  <cp:lastPrinted>2021-01-20T19:07:00Z</cp:lastPrinted>
  <dcterms:created xsi:type="dcterms:W3CDTF">2021-03-28T13:59:00Z</dcterms:created>
  <dcterms:modified xsi:type="dcterms:W3CDTF">2021-03-28T13:59:00Z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